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2" w:rsidRDefault="00111E22" w:rsidP="00111E22">
      <w:pPr>
        <w:shd w:val="clear" w:color="auto" w:fill="F1F1F1"/>
        <w:spacing w:after="300" w:line="240" w:lineRule="auto"/>
        <w:jc w:val="center"/>
        <w:textAlignment w:val="top"/>
        <w:rPr>
          <w:rFonts w:ascii="Clear Sans" w:eastAsia="Times New Roman" w:hAnsi="Clear Sans" w:cs="Times New Roman"/>
          <w:b/>
          <w:bCs/>
          <w:color w:val="2F2F2F"/>
          <w:sz w:val="26"/>
          <w:szCs w:val="26"/>
          <w:lang w:eastAsia="ru-RU"/>
        </w:rPr>
      </w:pPr>
      <w:r>
        <w:rPr>
          <w:rFonts w:ascii="Clear Sans" w:eastAsia="Times New Roman" w:hAnsi="Clear Sans" w:cs="Times New Roman"/>
          <w:b/>
          <w:bCs/>
          <w:color w:val="2F2F2F"/>
          <w:sz w:val="26"/>
          <w:szCs w:val="26"/>
          <w:lang w:eastAsia="ru-RU"/>
        </w:rPr>
        <w:t>Уважаемые родители! Предлагаем вам познакомиться с хартией «Цифровая этика детства!»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 xml:space="preserve"> Хартия закрепляет универсальные ценности и принципы взаимодействия с детьми в интернете. Следование этим принципам позволяет не только свести к минимуму угрозы, но и создать условия, при которых возможности цифровой среды будут эффективно использоваться детьми для развития и самореализации, общения и творчества</w:t>
      </w:r>
      <w:r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.</w:t>
      </w:r>
    </w:p>
    <w:p w:rsidR="00111E22" w:rsidRPr="00111E22" w:rsidRDefault="00111E22" w:rsidP="00111E22">
      <w:pPr>
        <w:shd w:val="clear" w:color="auto" w:fill="F1F1F1"/>
        <w:spacing w:after="285" w:line="240" w:lineRule="auto"/>
        <w:ind w:left="225" w:right="225"/>
        <w:textAlignment w:val="top"/>
        <w:outlineLvl w:val="2"/>
        <w:rPr>
          <w:rFonts w:ascii="Clear Sans" w:eastAsia="Times New Roman" w:hAnsi="Clear Sans" w:cs="Times New Roman"/>
          <w:b/>
          <w:bCs/>
          <w:color w:val="2F2F2F"/>
          <w:sz w:val="32"/>
          <w:szCs w:val="32"/>
          <w:lang w:eastAsia="ru-RU"/>
        </w:rPr>
      </w:pPr>
      <w:r w:rsidRPr="00111E22">
        <w:rPr>
          <w:rFonts w:ascii="Clear Sans" w:eastAsia="Times New Roman" w:hAnsi="Clear Sans" w:cs="Times New Roman"/>
          <w:b/>
          <w:bCs/>
          <w:color w:val="2F2F2F"/>
          <w:sz w:val="32"/>
          <w:szCs w:val="32"/>
          <w:lang w:eastAsia="ru-RU"/>
        </w:rPr>
        <w:t>Как появилась хартия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 xml:space="preserve">Хартию создали основатели Альянса. Это девять крупнейших компаний России: </w:t>
      </w:r>
      <w:proofErr w:type="spellStart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билайн</w:t>
      </w:r>
      <w:proofErr w:type="spellEnd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, холдинг «Газпром-Медиа», «Лаборатория Касперского», «МегаФон», МТС, VK, «Национальная Медиа Группа», «Ростелеком» и «Яндекс».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</w:p>
    <w:p w:rsidR="00111E22" w:rsidRPr="00111E22" w:rsidRDefault="00111E22" w:rsidP="00111E22">
      <w:pPr>
        <w:shd w:val="clear" w:color="auto" w:fill="F1F1F1"/>
        <w:spacing w:after="285" w:line="240" w:lineRule="auto"/>
        <w:ind w:left="225" w:right="225"/>
        <w:textAlignment w:val="top"/>
        <w:outlineLvl w:val="2"/>
        <w:rPr>
          <w:rFonts w:ascii="Clear Sans" w:eastAsia="Times New Roman" w:hAnsi="Clear Sans" w:cs="Times New Roman"/>
          <w:b/>
          <w:bCs/>
          <w:color w:val="2F2F2F"/>
          <w:sz w:val="32"/>
          <w:szCs w:val="32"/>
          <w:lang w:eastAsia="ru-RU"/>
        </w:rPr>
      </w:pPr>
      <w:r w:rsidRPr="00111E22">
        <w:rPr>
          <w:rFonts w:ascii="Clear Sans" w:eastAsia="Times New Roman" w:hAnsi="Clear Sans" w:cs="Times New Roman"/>
          <w:b/>
          <w:bCs/>
          <w:color w:val="2F2F2F"/>
          <w:sz w:val="32"/>
          <w:szCs w:val="32"/>
          <w:lang w:eastAsia="ru-RU"/>
        </w:rPr>
        <w:t>О чём говорится в хартии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Хартия — это этическая платформа и руководство к действию для организаций, компаний и объединений, работающих с детьми. Документ содержит ценностные ориентиры и правила поведения, которые помогают обеспечить благоприятную для детей цифровую среду.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Участники хартии:</w:t>
      </w:r>
    </w:p>
    <w:p w:rsidR="00111E22" w:rsidRPr="00111E22" w:rsidRDefault="00111E22" w:rsidP="00111E22">
      <w:pPr>
        <w:numPr>
          <w:ilvl w:val="0"/>
          <w:numId w:val="1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не допускают или минимизируют деструктивное влияние технологий на когнитивные способности и эмоциональное развитие детей;</w:t>
      </w:r>
    </w:p>
    <w:p w:rsidR="00111E22" w:rsidRPr="00111E22" w:rsidRDefault="00111E22" w:rsidP="00111E22">
      <w:pPr>
        <w:numPr>
          <w:ilvl w:val="0"/>
          <w:numId w:val="1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 xml:space="preserve">информируют детей об опасностях в интернете, о способах защиты и получения помощи при </w:t>
      </w:r>
      <w:proofErr w:type="spellStart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кибербуллинге</w:t>
      </w:r>
      <w:proofErr w:type="spellEnd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 xml:space="preserve">, </w:t>
      </w:r>
      <w:proofErr w:type="spellStart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троллинге</w:t>
      </w:r>
      <w:proofErr w:type="spellEnd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 xml:space="preserve"> и других формах неадекватного поведения в сети;</w:t>
      </w:r>
    </w:p>
    <w:p w:rsidR="00111E22" w:rsidRPr="00111E22" w:rsidRDefault="00111E22" w:rsidP="00111E22">
      <w:pPr>
        <w:numPr>
          <w:ilvl w:val="0"/>
          <w:numId w:val="1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развивают у детей навыки критического мышления и ответственного обращения с информацией из интернета;</w:t>
      </w:r>
    </w:p>
    <w:p w:rsidR="00111E22" w:rsidRPr="00111E22" w:rsidRDefault="00111E22" w:rsidP="00111E22">
      <w:pPr>
        <w:numPr>
          <w:ilvl w:val="0"/>
          <w:numId w:val="1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распространяют позитивный просветительский и воспитательный контент;</w:t>
      </w:r>
    </w:p>
    <w:p w:rsidR="00111E22" w:rsidRPr="00111E22" w:rsidRDefault="00111E22" w:rsidP="00111E22">
      <w:pPr>
        <w:numPr>
          <w:ilvl w:val="0"/>
          <w:numId w:val="1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создают атмосферу доверия и взаимной поддержки на разных этапах взаимодействия ребёнка с цифровой средой;</w:t>
      </w:r>
    </w:p>
    <w:p w:rsidR="00111E22" w:rsidRPr="00111E22" w:rsidRDefault="00111E22" w:rsidP="00111E22">
      <w:pPr>
        <w:numPr>
          <w:ilvl w:val="0"/>
          <w:numId w:val="1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учат детей вежливому и уважительному онлайн-общению между собой и со взрослыми;</w:t>
      </w:r>
    </w:p>
    <w:p w:rsidR="00111E22" w:rsidRPr="00111E22" w:rsidRDefault="00111E22" w:rsidP="00111E22">
      <w:pPr>
        <w:numPr>
          <w:ilvl w:val="0"/>
          <w:numId w:val="1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формируют у детей сознательное отношение к своему поведению в сети, к оставляемым цифровым следам и их возможным последствиям для личной и профессиональной жизни;</w:t>
      </w:r>
    </w:p>
    <w:p w:rsidR="00111E22" w:rsidRPr="00111E22" w:rsidRDefault="00111E22" w:rsidP="00111E22">
      <w:pPr>
        <w:numPr>
          <w:ilvl w:val="0"/>
          <w:numId w:val="1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lastRenderedPageBreak/>
        <w:t>прививают детям осторожное обращение с персональной информацией о себе, семье, друзьях;</w:t>
      </w:r>
    </w:p>
    <w:p w:rsidR="00111E22" w:rsidRPr="00111E22" w:rsidRDefault="00111E22" w:rsidP="00111E22">
      <w:pPr>
        <w:numPr>
          <w:ilvl w:val="0"/>
          <w:numId w:val="1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принимают меры по закрытию доступа к взрослому контенту;</w:t>
      </w:r>
    </w:p>
    <w:p w:rsidR="00111E22" w:rsidRPr="00111E22" w:rsidRDefault="00111E22" w:rsidP="00111E22">
      <w:pPr>
        <w:numPr>
          <w:ilvl w:val="0"/>
          <w:numId w:val="1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стремятся не допускать чрезмерное погружение ребёнка в онлайн-среду, помогая достичь баланса в распределении времени на цифровое и реальное общение.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Полный текст хартии можно прочесть </w:t>
      </w:r>
      <w:hyperlink r:id="rId5" w:tgtFrame="_blank" w:history="1">
        <w:r w:rsidRPr="00111E22">
          <w:rPr>
            <w:rFonts w:ascii="Clear Sans" w:eastAsia="Times New Roman" w:hAnsi="Clear Sans" w:cs="Times New Roman"/>
            <w:color w:val="50E3C2"/>
            <w:sz w:val="26"/>
            <w:szCs w:val="26"/>
            <w:u w:val="single"/>
            <w:lang w:eastAsia="ru-RU"/>
          </w:rPr>
          <w:t>по с</w:t>
        </w:r>
        <w:r w:rsidRPr="00111E22">
          <w:rPr>
            <w:rFonts w:ascii="Clear Sans" w:eastAsia="Times New Roman" w:hAnsi="Clear Sans" w:cs="Times New Roman"/>
            <w:color w:val="50E3C2"/>
            <w:sz w:val="26"/>
            <w:szCs w:val="26"/>
            <w:u w:val="single"/>
            <w:lang w:eastAsia="ru-RU"/>
          </w:rPr>
          <w:t>с</w:t>
        </w:r>
        <w:r w:rsidRPr="00111E22">
          <w:rPr>
            <w:rFonts w:ascii="Clear Sans" w:eastAsia="Times New Roman" w:hAnsi="Clear Sans" w:cs="Times New Roman"/>
            <w:color w:val="50E3C2"/>
            <w:sz w:val="26"/>
            <w:szCs w:val="26"/>
            <w:u w:val="single"/>
            <w:lang w:eastAsia="ru-RU"/>
          </w:rPr>
          <w:t>ылке</w:t>
        </w:r>
      </w:hyperlink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.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</w:p>
    <w:p w:rsidR="00111E22" w:rsidRPr="00111E22" w:rsidRDefault="00111E22" w:rsidP="00111E22">
      <w:pPr>
        <w:shd w:val="clear" w:color="auto" w:fill="F1F1F1"/>
        <w:spacing w:after="285" w:line="240" w:lineRule="auto"/>
        <w:ind w:left="225" w:right="225"/>
        <w:textAlignment w:val="top"/>
        <w:outlineLvl w:val="2"/>
        <w:rPr>
          <w:rFonts w:ascii="Clear Sans" w:eastAsia="Times New Roman" w:hAnsi="Clear Sans" w:cs="Times New Roman"/>
          <w:b/>
          <w:bCs/>
          <w:color w:val="2F2F2F"/>
          <w:sz w:val="32"/>
          <w:szCs w:val="32"/>
          <w:lang w:eastAsia="ru-RU"/>
        </w:rPr>
      </w:pPr>
      <w:r w:rsidRPr="00111E22">
        <w:rPr>
          <w:rFonts w:ascii="Clear Sans" w:eastAsia="Times New Roman" w:hAnsi="Clear Sans" w:cs="Times New Roman"/>
          <w:b/>
          <w:bCs/>
          <w:color w:val="2F2F2F"/>
          <w:sz w:val="32"/>
          <w:szCs w:val="32"/>
          <w:lang w:eastAsia="ru-RU"/>
        </w:rPr>
        <w:t>Кто может стать участником хартии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Участие в хартии добровольное. Она ориентирована на максимально широкий круг российских и иностранных коллективов, разделяющих её ценности. Присоединиться могут государственные, коммерческие и некоммерческие организации, образовательные учреждения, общественные, профессиональные объединения и другие коллективы, занимающиеся работой с детьми и обеспечением их безопасности в цифровой среде.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Единственное ограничение: участниками хартии не могут быть физические лица (но могут стать объединения родителей, педагогов и т. д.).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</w:p>
    <w:p w:rsidR="00111E22" w:rsidRPr="00111E22" w:rsidRDefault="00111E22" w:rsidP="00111E22">
      <w:pPr>
        <w:shd w:val="clear" w:color="auto" w:fill="F1F1F1"/>
        <w:spacing w:after="285" w:line="240" w:lineRule="auto"/>
        <w:ind w:left="225" w:right="225"/>
        <w:textAlignment w:val="top"/>
        <w:outlineLvl w:val="2"/>
        <w:rPr>
          <w:rFonts w:ascii="Clear Sans" w:eastAsia="Times New Roman" w:hAnsi="Clear Sans" w:cs="Times New Roman"/>
          <w:b/>
          <w:bCs/>
          <w:color w:val="2F2F2F"/>
          <w:sz w:val="32"/>
          <w:szCs w:val="32"/>
          <w:lang w:eastAsia="ru-RU"/>
        </w:rPr>
      </w:pPr>
      <w:r w:rsidRPr="00111E22">
        <w:rPr>
          <w:rFonts w:ascii="Clear Sans" w:eastAsia="Times New Roman" w:hAnsi="Clear Sans" w:cs="Times New Roman"/>
          <w:b/>
          <w:bCs/>
          <w:color w:val="2F2F2F"/>
          <w:sz w:val="32"/>
          <w:szCs w:val="32"/>
          <w:lang w:eastAsia="ru-RU"/>
        </w:rPr>
        <w:t>Как присоединиться к хартии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Для этого нужно:</w:t>
      </w:r>
    </w:p>
    <w:p w:rsidR="00111E22" w:rsidRPr="00111E22" w:rsidRDefault="00111E22" w:rsidP="00111E22">
      <w:pPr>
        <w:numPr>
          <w:ilvl w:val="0"/>
          <w:numId w:val="2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сообщить о своем желании </w:t>
      </w:r>
      <w:hyperlink r:id="rId6" w:tgtFrame="_blank" w:history="1">
        <w:r w:rsidRPr="00111E22">
          <w:rPr>
            <w:rFonts w:ascii="Clear Sans" w:eastAsia="Times New Roman" w:hAnsi="Clear Sans" w:cs="Times New Roman"/>
            <w:color w:val="50E3C2"/>
            <w:sz w:val="26"/>
            <w:szCs w:val="26"/>
            <w:u w:val="single"/>
            <w:lang w:eastAsia="ru-RU"/>
          </w:rPr>
          <w:t>через фо</w:t>
        </w:r>
        <w:r w:rsidRPr="00111E22">
          <w:rPr>
            <w:rFonts w:ascii="Clear Sans" w:eastAsia="Times New Roman" w:hAnsi="Clear Sans" w:cs="Times New Roman"/>
            <w:color w:val="50E3C2"/>
            <w:sz w:val="26"/>
            <w:szCs w:val="26"/>
            <w:u w:val="single"/>
            <w:lang w:eastAsia="ru-RU"/>
          </w:rPr>
          <w:t>р</w:t>
        </w:r>
        <w:r w:rsidRPr="00111E22">
          <w:rPr>
            <w:rFonts w:ascii="Clear Sans" w:eastAsia="Times New Roman" w:hAnsi="Clear Sans" w:cs="Times New Roman"/>
            <w:color w:val="50E3C2"/>
            <w:sz w:val="26"/>
            <w:szCs w:val="26"/>
            <w:u w:val="single"/>
            <w:lang w:eastAsia="ru-RU"/>
          </w:rPr>
          <w:t>му на сайте</w:t>
        </w:r>
      </w:hyperlink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 и оставить контактные данные для обратной связи;</w:t>
      </w:r>
    </w:p>
    <w:p w:rsidR="00111E22" w:rsidRPr="00111E22" w:rsidRDefault="00111E22" w:rsidP="00111E22">
      <w:pPr>
        <w:numPr>
          <w:ilvl w:val="0"/>
          <w:numId w:val="2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распечатать и подписать от руки текст меморандума о присоединении к хартии, который придёт в ответном письме;</w:t>
      </w:r>
    </w:p>
    <w:p w:rsidR="00111E22" w:rsidRPr="00111E22" w:rsidRDefault="00111E22" w:rsidP="00111E22">
      <w:pPr>
        <w:numPr>
          <w:ilvl w:val="0"/>
          <w:numId w:val="2"/>
        </w:numPr>
        <w:shd w:val="clear" w:color="auto" w:fill="F1F1F1"/>
        <w:spacing w:after="300" w:line="240" w:lineRule="auto"/>
        <w:ind w:left="225" w:right="225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направить на почту Альянса сканированную копию подписанного меморандума.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</w:p>
    <w:p w:rsidR="00111E22" w:rsidRPr="00111E22" w:rsidRDefault="00111E22" w:rsidP="00111E22">
      <w:pPr>
        <w:shd w:val="clear" w:color="auto" w:fill="F1F1F1"/>
        <w:spacing w:after="285" w:line="240" w:lineRule="auto"/>
        <w:ind w:left="225" w:right="225"/>
        <w:textAlignment w:val="top"/>
        <w:outlineLvl w:val="2"/>
        <w:rPr>
          <w:rFonts w:ascii="Clear Sans" w:eastAsia="Times New Roman" w:hAnsi="Clear Sans" w:cs="Times New Roman"/>
          <w:b/>
          <w:bCs/>
          <w:color w:val="2F2F2F"/>
          <w:sz w:val="32"/>
          <w:szCs w:val="32"/>
          <w:lang w:eastAsia="ru-RU"/>
        </w:rPr>
      </w:pPr>
      <w:r w:rsidRPr="00111E22">
        <w:rPr>
          <w:rFonts w:ascii="Clear Sans" w:eastAsia="Times New Roman" w:hAnsi="Clear Sans" w:cs="Times New Roman"/>
          <w:b/>
          <w:bCs/>
          <w:color w:val="2F2F2F"/>
          <w:sz w:val="32"/>
          <w:szCs w:val="32"/>
          <w:lang w:eastAsia="ru-RU"/>
        </w:rPr>
        <w:t>Кто уже поддержал документ</w:t>
      </w:r>
    </w:p>
    <w:p w:rsidR="00111E22" w:rsidRPr="00111E22" w:rsidRDefault="00111E22" w:rsidP="00111E22">
      <w:pPr>
        <w:shd w:val="clear" w:color="auto" w:fill="F1F1F1"/>
        <w:spacing w:after="300" w:line="240" w:lineRule="auto"/>
        <w:textAlignment w:val="top"/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</w:pP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 xml:space="preserve">Среди участников хартии — компании-основатели Альянса, </w:t>
      </w:r>
      <w:proofErr w:type="spellStart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Сбер</w:t>
      </w:r>
      <w:proofErr w:type="spellEnd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 xml:space="preserve">, российское общество «Знание», Российское движение школьников, школа «Сириус», молодёжный цифровой омбудсмен, АНО БО «Журавлик», Российская государственная детская библиотека, АНО «Центр изучения и сетевого </w:t>
      </w:r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lastRenderedPageBreak/>
        <w:t>мониторинга молодежной среды», АНО «Центр компетенций по глобальной ИТ-кооперации», Институт изучения детства, семьи и воспитания РАО, а также «</w:t>
      </w:r>
      <w:proofErr w:type="spellStart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Союзмультфильм</w:t>
      </w:r>
      <w:proofErr w:type="spellEnd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 xml:space="preserve">», </w:t>
      </w:r>
      <w:proofErr w:type="spellStart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Yappy</w:t>
      </w:r>
      <w:proofErr w:type="spellEnd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 xml:space="preserve"> и </w:t>
      </w:r>
      <w:proofErr w:type="spellStart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Skillbox</w:t>
      </w:r>
      <w:proofErr w:type="spellEnd"/>
      <w:r w:rsidRPr="00111E22">
        <w:rPr>
          <w:rFonts w:ascii="Clear Sans" w:eastAsia="Times New Roman" w:hAnsi="Clear Sans" w:cs="Times New Roman"/>
          <w:color w:val="2F2F2F"/>
          <w:sz w:val="26"/>
          <w:szCs w:val="26"/>
          <w:lang w:eastAsia="ru-RU"/>
        </w:rPr>
        <w:t>. </w:t>
      </w:r>
    </w:p>
    <w:p w:rsidR="00111E22" w:rsidRPr="00111E22" w:rsidRDefault="00111E22" w:rsidP="00111E22">
      <w:pPr>
        <w:shd w:val="clear" w:color="auto" w:fill="F1F1F1"/>
        <w:spacing w:after="0" w:line="240" w:lineRule="auto"/>
        <w:jc w:val="center"/>
        <w:textAlignment w:val="top"/>
        <w:rPr>
          <w:rFonts w:ascii="Clear Sans" w:eastAsia="Times New Roman" w:hAnsi="Clear Sans" w:cs="Times New Roman"/>
          <w:color w:val="2F2F2F"/>
          <w:sz w:val="23"/>
          <w:szCs w:val="23"/>
          <w:lang w:eastAsia="ru-RU"/>
        </w:rPr>
      </w:pPr>
      <w:r w:rsidRPr="00111E22">
        <w:rPr>
          <w:rFonts w:ascii="Clear Sans" w:eastAsia="Times New Roman" w:hAnsi="Clear Sans" w:cs="Times New Roman"/>
          <w:noProof/>
          <w:color w:val="FFFFFF"/>
          <w:sz w:val="23"/>
          <w:szCs w:val="23"/>
          <w:lang w:eastAsia="ru-RU"/>
        </w:rPr>
        <w:drawing>
          <wp:inline distT="0" distB="0" distL="0" distR="0" wp14:anchorId="37BB57F7" wp14:editId="26BD9746">
            <wp:extent cx="6209942" cy="1023399"/>
            <wp:effectExtent l="0" t="0" r="635" b="5715"/>
            <wp:docPr id="2" name="Рисунок 2" descr="Bezymyanny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ymyanny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64" cy="102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6B" w:rsidRDefault="009C126B">
      <w:bookmarkStart w:id="0" w:name="_GoBack"/>
      <w:bookmarkEnd w:id="0"/>
    </w:p>
    <w:sectPr w:rsidR="009C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14BB"/>
    <w:multiLevelType w:val="multilevel"/>
    <w:tmpl w:val="F292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87240"/>
    <w:multiLevelType w:val="multilevel"/>
    <w:tmpl w:val="87B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2"/>
    <w:rsid w:val="00111E22"/>
    <w:rsid w:val="009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8792-0250-4304-A62F-28AC690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04">
          <w:marLeft w:val="0"/>
          <w:marRight w:val="0"/>
          <w:marTop w:val="15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81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forkids.ru/charter/" TargetMode="External"/><Relationship Id="rId5" Type="http://schemas.openxmlformats.org/officeDocument/2006/relationships/hyperlink" Target="https://internetforkids.ru/upload/docs/chart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2022-02-25T04:06:00Z</dcterms:created>
  <dcterms:modified xsi:type="dcterms:W3CDTF">2022-02-25T04:11:00Z</dcterms:modified>
</cp:coreProperties>
</file>